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rFonts w:ascii="Georgia" w:hAnsi="Georgia" w:cs="Arial"/>
          <w:noProof/>
        </w:rPr>
        <w:drawing>
          <wp:inline distT="0" distB="0" distL="0" distR="0" wp14:anchorId="1E16443F" wp14:editId="5744EDB7">
            <wp:extent cx="1932305" cy="2138680"/>
            <wp:effectExtent l="0" t="0" r="0" b="0"/>
            <wp:docPr id="1" name="Obrázek 1" descr="HLAV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B5">
        <w:rPr>
          <w:bCs/>
          <w:sz w:val="24"/>
          <w:szCs w:val="24"/>
        </w:rPr>
        <w:t xml:space="preserve"> </w:t>
      </w:r>
    </w:p>
    <w:p w:rsidR="001866B5" w:rsidRDefault="006622D8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866B5">
        <w:rPr>
          <w:bCs/>
          <w:sz w:val="24"/>
          <w:szCs w:val="24"/>
        </w:rPr>
        <w:t>V Brně dne 15. 12. 2016</w:t>
      </w:r>
    </w:p>
    <w:p w:rsidR="006622D8" w:rsidRPr="006622D8" w:rsidRDefault="006622D8" w:rsidP="006622D8">
      <w:pPr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866B5" w:rsidRPr="006622D8">
        <w:rPr>
          <w:bCs/>
          <w:sz w:val="24"/>
          <w:szCs w:val="24"/>
        </w:rPr>
        <w:t>PM</w:t>
      </w:r>
      <w:r w:rsidRPr="006622D8">
        <w:rPr>
          <w:sz w:val="24"/>
          <w:szCs w:val="24"/>
        </w:rPr>
        <w:t>PM073008/2016-101/</w:t>
      </w:r>
      <w:proofErr w:type="spellStart"/>
      <w:r w:rsidRPr="006622D8">
        <w:rPr>
          <w:sz w:val="24"/>
          <w:szCs w:val="24"/>
        </w:rPr>
        <w:t>Nápl</w:t>
      </w:r>
      <w:proofErr w:type="spellEnd"/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Vážená paní starostko, Vážený pane starosto,</w:t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dovoluji si obrátit se na Vás ve věci zpracované studie výhledové lokality Čučice. Naprosto chápu, že je tato problematika pro Vás a Vaše občany velmi citlivá. Vaše názory státní podnik Povodí Moravy nikdy nebral na lehkou váhu a jsou proto jak pro nás, tak pro Ministerstvo zemědělství, vždy naprosto zásadní při rozhodování o jakémkoliv záměru.</w:t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Nelze se divit, že </w:t>
      </w:r>
      <w:r w:rsidR="00580939">
        <w:rPr>
          <w:bCs/>
          <w:sz w:val="24"/>
          <w:szCs w:val="24"/>
        </w:rPr>
        <w:t>každá</w:t>
      </w:r>
      <w:r>
        <w:rPr>
          <w:bCs/>
          <w:sz w:val="24"/>
          <w:szCs w:val="24"/>
        </w:rPr>
        <w:t xml:space="preserve"> zmínka o tak významném záměru, jako je prověřování výhledové vodní nádrže, může vzbudit vesměs negativní reakce. Ambicí Povodí Moravy</w:t>
      </w:r>
      <w:r w:rsidR="00757E46">
        <w:rPr>
          <w:bCs/>
          <w:sz w:val="24"/>
          <w:szCs w:val="24"/>
        </w:rPr>
        <w:t xml:space="preserve">, </w:t>
      </w:r>
      <w:proofErr w:type="spellStart"/>
      <w:proofErr w:type="gramStart"/>
      <w:r w:rsidR="00757E46">
        <w:rPr>
          <w:bCs/>
          <w:sz w:val="24"/>
          <w:szCs w:val="24"/>
        </w:rPr>
        <w:t>s.p</w:t>
      </w:r>
      <w:proofErr w:type="spellEnd"/>
      <w:r w:rsidR="00757E46"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od počátku ovšem nebylo iniciovat přípravu výstavby vodní nádrže. Jako správce významného vodního toku Oslava a správce povodí nicméně máme za povinnost nejen hodnotit množství a kvalitu povrchových vod, ale také vždy zpracovávat vodohospodářskou bilanci minulého roku a též vodohospodářskou bilanci výhledového stavu. Alarmující hy</w:t>
      </w:r>
      <w:r w:rsidR="00757E46">
        <w:rPr>
          <w:bCs/>
          <w:sz w:val="24"/>
          <w:szCs w:val="24"/>
        </w:rPr>
        <w:t xml:space="preserve">drologická situace v roce 2015 </w:t>
      </w:r>
      <w:r>
        <w:rPr>
          <w:bCs/>
          <w:sz w:val="24"/>
          <w:szCs w:val="24"/>
        </w:rPr>
        <w:t xml:space="preserve">též některé negativní prognózy nás proto přiměly, abychom v prověřování možných nových vodních zdrojů postupovali intenzivnějším a systematickým způsobem. </w:t>
      </w:r>
    </w:p>
    <w:p w:rsidR="001866B5" w:rsidRDefault="001866B5" w:rsidP="001866B5">
      <w:pPr>
        <w:spacing w:before="12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Lokalita Čučice nebyla vybrána v tomto smyslu mezi prvními náhodou. Její vodohospodářský potenciál je významný a možné střety s dalšími veřejnými zájmy se na druhou stranu již před zadáním studie jevily jako velmi významné. O to více jsme ovšem považovali za nezbytné aktualizovat podklady k této lokalitě, které jsou již přes 40 let staré. Tento přístup byl podpořen předními kapacitami z akademické a výzkumné sféry jako správný a odpovědný. </w:t>
      </w:r>
      <w:r>
        <w:rPr>
          <w:sz w:val="24"/>
          <w:szCs w:val="24"/>
        </w:rPr>
        <w:t xml:space="preserve">Ke komplexnímu vyhodnocení environmentálních a sociálních aspektů v minulosti nebylo nikdy přistoupeno a o intenzitě střetů v těchto oblastech jsme mohli tedy pouze spekulovat. </w:t>
      </w:r>
    </w:p>
    <w:p w:rsidR="001866B5" w:rsidRDefault="006622D8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 tedy studie </w:t>
      </w:r>
      <w:r w:rsidR="001866B5">
        <w:rPr>
          <w:bCs/>
          <w:sz w:val="24"/>
          <w:szCs w:val="24"/>
        </w:rPr>
        <w:t>přinesla? Vedle značného vodohospodářského významu lokality klade na druhou misku vah též další veřejné zájmy jako je ochrana přírody, turistické využití a další sociální aspekty. Je třeba zcela upřímně přiznat, že rozsah střetů s ochranou přírody je opravdu rozsáhlý, a to jak výčtem chráněných druhů, tak vyhlášenými formami územní ochrany přírody. Podrobnější informace se můžete dočíst přímo ve studii, která byla uveřejněna na našich webových stránkách.</w:t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Studie vzbudila negativní ohlas</w:t>
      </w:r>
      <w:r>
        <w:rPr>
          <w:sz w:val="24"/>
          <w:szCs w:val="24"/>
        </w:rPr>
        <w:t xml:space="preserve">, zejména u obcí v bezprostřední blízkosti údolí Oslavy. Byla sepsána petice proti její výstavbě. Diskuze ze strany dotčené veřejnosti nebyla převážně </w:t>
      </w:r>
      <w:r>
        <w:rPr>
          <w:sz w:val="24"/>
          <w:szCs w:val="24"/>
        </w:rPr>
        <w:lastRenderedPageBreak/>
        <w:t>vedena ve věcné rovině o studii jako takové, ale se snahou diskuzi nasměrovat k výstavbě „vodního díla“. U někoho možná z důvodu skutečných  obav z jeho výstavby (byť se žádná výstavba nepřipravovala a nepřipravuje), u někoho zcela jednoznačně záměrně, z důvodu sledování jiných zájmů.</w:t>
      </w:r>
      <w:r>
        <w:rPr>
          <w:bCs/>
          <w:sz w:val="24"/>
          <w:szCs w:val="24"/>
        </w:rPr>
        <w:t xml:space="preserve"> </w:t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Zároveň ale studie prokázala, že za současného stavu nejsou dány důvody k tomu, aby bylo v přípravě či dalším prověřování této lokality nadále v blízkém či střednědobém horizontu pokračováno. Pro Povodí Moravy, </w:t>
      </w:r>
      <w:proofErr w:type="spellStart"/>
      <w:proofErr w:type="gramStart"/>
      <w:r>
        <w:rPr>
          <w:bCs/>
          <w:sz w:val="24"/>
          <w:szCs w:val="24"/>
        </w:rPr>
        <w:t>s.p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>, je proto zavazující, aby v budoucnu pokračoval v hledání alternativních a pro přírodu i obyvatele méně zatěžujících opatření. Právě tomuto by měla napomoci úzká spolupráce, kter</w:t>
      </w:r>
      <w:r w:rsidR="006622D8">
        <w:rPr>
          <w:bCs/>
          <w:sz w:val="24"/>
          <w:szCs w:val="24"/>
        </w:rPr>
        <w:t xml:space="preserve">ou jsme navázali s AOPK. Tento </w:t>
      </w:r>
      <w:r>
        <w:rPr>
          <w:bCs/>
          <w:sz w:val="24"/>
          <w:szCs w:val="24"/>
        </w:rPr>
        <w:t xml:space="preserve">postup plně odpovídá principům Generelu LAPV, který hovoří o výstavbě vodních děl jako o možnosti poslední, která může být využita až v okamžiku, kdy budou vyčerpány alternativy ostatní. </w:t>
      </w:r>
    </w:p>
    <w:p w:rsidR="001866B5" w:rsidRDefault="001866B5" w:rsidP="001866B5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Buďme ovšem dnes odpovědní k dalším generacím a nadále tuto lokalitu hajme, protože samotné hájení lokality může tamní nedotčené přírodě jenom prospět. Vášně, které tato studie vzbudila,</w:t>
      </w:r>
      <w:r w:rsidR="00626CED">
        <w:rPr>
          <w:bCs/>
          <w:sz w:val="24"/>
          <w:szCs w:val="24"/>
        </w:rPr>
        <w:t xml:space="preserve"> v některých okamžicích vyústil</w:t>
      </w:r>
      <w:r w:rsidR="00580939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v argumenty, jež nebyly vždy zcela objektivní. Budu proto velmi rád pokud se naše budoucí spolupráce ponese v konstruktivním duchu, v jehož duchu byla vždy ta dosavadní. </w:t>
      </w:r>
    </w:p>
    <w:p w:rsidR="001866B5" w:rsidRDefault="001866B5" w:rsidP="001866B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Respektujeme tedy plně zcela jasné argumenty Vás, kteří byste byli přímo dotčeni případnou budoucí výstavbou nádrže</w:t>
      </w:r>
      <w:r w:rsidR="00580939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i těch, pro které je údolí řeky Oslavy nenahraditelnou a srdeční záležitostí. Povodí Moravy, </w:t>
      </w:r>
      <w:proofErr w:type="spellStart"/>
      <w:proofErr w:type="gramStart"/>
      <w:r>
        <w:rPr>
          <w:sz w:val="24"/>
          <w:szCs w:val="24"/>
        </w:rPr>
        <w:t>s.p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nebude vyvíjet žádné aktivity vedoucí k přípravě vodního díla, nebude účastno žádných jednání k dokončené studii, neboť žádnou nádrž nepřipravovalo a připravovat nebude.</w:t>
      </w:r>
    </w:p>
    <w:p w:rsidR="001866B5" w:rsidRDefault="001866B5" w:rsidP="001866B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Závěrem dovolte, abych poděkoval všem, kteří se aktivně zapojili do diskuze, která byla někdy více či méně konstruktivní a více či méně relevantní k projednávanému tématu, ale z mého pohledu velmi důležitá a její výsledek byl zcela jednoznačný. </w:t>
      </w:r>
    </w:p>
    <w:p w:rsidR="001866B5" w:rsidRDefault="001866B5" w:rsidP="001866B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 přátelským pozdravem a poděkováním za spolupráci,</w:t>
      </w:r>
    </w:p>
    <w:p w:rsidR="001866B5" w:rsidRDefault="001866B5" w:rsidP="001866B5">
      <w:pPr>
        <w:spacing w:before="120" w:after="120"/>
        <w:jc w:val="both"/>
        <w:rPr>
          <w:sz w:val="24"/>
          <w:szCs w:val="24"/>
        </w:rPr>
      </w:pPr>
    </w:p>
    <w:p w:rsidR="001866B5" w:rsidRDefault="001866B5" w:rsidP="001866B5">
      <w:pPr>
        <w:rPr>
          <w:sz w:val="24"/>
          <w:szCs w:val="24"/>
        </w:rPr>
      </w:pPr>
    </w:p>
    <w:p w:rsidR="009140F8" w:rsidRDefault="009140F8" w:rsidP="001866B5">
      <w:pPr>
        <w:rPr>
          <w:sz w:val="24"/>
          <w:szCs w:val="24"/>
        </w:rPr>
      </w:pPr>
    </w:p>
    <w:p w:rsidR="009140F8" w:rsidRDefault="009140F8" w:rsidP="001866B5">
      <w:pPr>
        <w:rPr>
          <w:sz w:val="24"/>
          <w:szCs w:val="24"/>
        </w:rPr>
      </w:pPr>
    </w:p>
    <w:p w:rsidR="009140F8" w:rsidRDefault="009140F8" w:rsidP="001866B5">
      <w:pPr>
        <w:rPr>
          <w:sz w:val="24"/>
          <w:szCs w:val="24"/>
        </w:rPr>
      </w:pPr>
    </w:p>
    <w:p w:rsidR="009140F8" w:rsidRDefault="009140F8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Default="001866B5" w:rsidP="001866B5">
      <w:pPr>
        <w:rPr>
          <w:b/>
          <w:sz w:val="24"/>
          <w:szCs w:val="24"/>
        </w:rPr>
      </w:pPr>
    </w:p>
    <w:p w:rsidR="001866B5" w:rsidRPr="001866B5" w:rsidRDefault="001866B5" w:rsidP="001866B5">
      <w:pPr>
        <w:rPr>
          <w:b/>
          <w:sz w:val="24"/>
          <w:szCs w:val="24"/>
          <w:u w:val="single"/>
        </w:rPr>
      </w:pPr>
      <w:r w:rsidRPr="001866B5">
        <w:rPr>
          <w:b/>
          <w:sz w:val="24"/>
          <w:szCs w:val="24"/>
          <w:u w:val="single"/>
        </w:rPr>
        <w:lastRenderedPageBreak/>
        <w:t>Rozdělovník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Město Náměšť nad Oslavou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Obec Kralice nad Oslavou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Obce Březníku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Obec Kladeruby nad Oslavou 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Obec Kuroslepy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Městy Mohelno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Obec Ketkovice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Obce Senorady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Obce Čučice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Obce Nová Ves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Město Oslavany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Město Ivančice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Obec Kupařovice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Obec Pravlov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Město Dolní Kounice</w:t>
      </w:r>
    </w:p>
    <w:p w:rsidR="001866B5" w:rsidRDefault="001866B5" w:rsidP="001866B5">
      <w:pPr>
        <w:pStyle w:val="Normlnweb"/>
        <w:numPr>
          <w:ilvl w:val="0"/>
          <w:numId w:val="1"/>
        </w:numPr>
        <w:ind w:hanging="72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Město Pohořelice</w:t>
      </w:r>
    </w:p>
    <w:p w:rsidR="001866B5" w:rsidRDefault="001866B5" w:rsidP="001866B5">
      <w:pPr>
        <w:rPr>
          <w:sz w:val="22"/>
          <w:szCs w:val="22"/>
        </w:rPr>
      </w:pPr>
    </w:p>
    <w:p w:rsidR="001866B5" w:rsidRDefault="001866B5" w:rsidP="00186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vědomí</w:t>
      </w:r>
    </w:p>
    <w:p w:rsidR="001866B5" w:rsidRPr="001866B5" w:rsidRDefault="001866B5" w:rsidP="001866B5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1866B5">
        <w:rPr>
          <w:rFonts w:eastAsia="Calibri"/>
          <w:sz w:val="22"/>
          <w:szCs w:val="22"/>
        </w:rPr>
        <w:t xml:space="preserve">Ministerstvo zemědělství - ministr Ing. Marian Jurečka </w:t>
      </w:r>
    </w:p>
    <w:p w:rsidR="001866B5" w:rsidRPr="001866B5" w:rsidRDefault="001866B5" w:rsidP="001866B5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rFonts w:eastAsia="Calibri"/>
          <w:sz w:val="22"/>
          <w:szCs w:val="22"/>
        </w:rPr>
      </w:pPr>
      <w:r w:rsidRPr="001866B5">
        <w:rPr>
          <w:rFonts w:eastAsia="Calibri"/>
          <w:sz w:val="22"/>
          <w:szCs w:val="22"/>
        </w:rPr>
        <w:t>Ministerstvo životního prostředí - ministr Mgr. Richard Brabec</w:t>
      </w:r>
    </w:p>
    <w:p w:rsidR="001866B5" w:rsidRPr="001866B5" w:rsidRDefault="001866B5" w:rsidP="001866B5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rFonts w:eastAsia="Calibri"/>
          <w:sz w:val="22"/>
          <w:szCs w:val="22"/>
        </w:rPr>
      </w:pPr>
      <w:r w:rsidRPr="001866B5">
        <w:rPr>
          <w:rFonts w:eastAsia="Calibri"/>
          <w:sz w:val="22"/>
          <w:szCs w:val="22"/>
        </w:rPr>
        <w:t xml:space="preserve">Kraj Vysočina </w:t>
      </w:r>
    </w:p>
    <w:p w:rsidR="001866B5" w:rsidRPr="001866B5" w:rsidRDefault="001866B5" w:rsidP="001866B5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rFonts w:eastAsia="Calibri"/>
          <w:sz w:val="22"/>
          <w:szCs w:val="22"/>
        </w:rPr>
      </w:pPr>
      <w:r w:rsidRPr="001866B5">
        <w:rPr>
          <w:rFonts w:eastAsia="Calibri"/>
          <w:sz w:val="22"/>
          <w:szCs w:val="22"/>
        </w:rPr>
        <w:t>Jihomoravský kraj</w:t>
      </w:r>
    </w:p>
    <w:p w:rsidR="001866B5" w:rsidRPr="001866B5" w:rsidRDefault="001866B5" w:rsidP="001866B5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2"/>
          <w:szCs w:val="22"/>
        </w:rPr>
      </w:pPr>
      <w:proofErr w:type="spellStart"/>
      <w:r w:rsidRPr="001866B5">
        <w:rPr>
          <w:rFonts w:eastAsia="Calibri"/>
          <w:sz w:val="22"/>
          <w:szCs w:val="22"/>
        </w:rPr>
        <w:t>Vodotika</w:t>
      </w:r>
      <w:proofErr w:type="spellEnd"/>
      <w:r w:rsidRPr="001866B5">
        <w:rPr>
          <w:sz w:val="22"/>
          <w:szCs w:val="22"/>
        </w:rPr>
        <w:t xml:space="preserve">, a.s. </w:t>
      </w:r>
    </w:p>
    <w:p w:rsidR="00CD3F37" w:rsidRDefault="00CD3F37"/>
    <w:sectPr w:rsidR="00CD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575"/>
    <w:multiLevelType w:val="hybridMultilevel"/>
    <w:tmpl w:val="8BE0B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A6C64"/>
    <w:multiLevelType w:val="hybridMultilevel"/>
    <w:tmpl w:val="E834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B5"/>
    <w:rsid w:val="001866B5"/>
    <w:rsid w:val="00492BBE"/>
    <w:rsid w:val="00580939"/>
    <w:rsid w:val="00626CED"/>
    <w:rsid w:val="006622D8"/>
    <w:rsid w:val="00757E46"/>
    <w:rsid w:val="009140F8"/>
    <w:rsid w:val="00C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6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66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6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866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6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66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6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866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Staňová Kateřina</dc:creator>
  <cp:lastModifiedBy>Tůma -&gt; Frýbortová</cp:lastModifiedBy>
  <cp:revision>2</cp:revision>
  <cp:lastPrinted>2016-12-15T12:53:00Z</cp:lastPrinted>
  <dcterms:created xsi:type="dcterms:W3CDTF">2016-12-15T13:42:00Z</dcterms:created>
  <dcterms:modified xsi:type="dcterms:W3CDTF">2016-12-15T13:42:00Z</dcterms:modified>
</cp:coreProperties>
</file>